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E79" w:rsidRDefault="00B45EEE">
      <w:pPr>
        <w:jc w:val="center"/>
        <w:rPr>
          <w:sz w:val="32"/>
          <w:szCs w:val="32"/>
        </w:rPr>
      </w:pPr>
      <w:r>
        <w:rPr>
          <w:rFonts w:ascii="方正小标宋简体" w:eastAsia="方正小标宋简体" w:hAnsi="黑体" w:hint="eastAsia"/>
          <w:bCs/>
          <w:kern w:val="0"/>
          <w:sz w:val="32"/>
          <w:szCs w:val="32"/>
        </w:rPr>
        <w:t>全市校园“两打一整治”专项行动</w:t>
      </w:r>
      <w:r w:rsidR="008C0400">
        <w:rPr>
          <w:rFonts w:ascii="方正小标宋简体" w:eastAsia="方正小标宋简体" w:hAnsi="黑体" w:hint="eastAsia"/>
          <w:bCs/>
          <w:kern w:val="0"/>
          <w:sz w:val="32"/>
          <w:szCs w:val="32"/>
        </w:rPr>
        <w:t>考核表</w:t>
      </w:r>
    </w:p>
    <w:p w:rsidR="00707E79" w:rsidRDefault="00B45EEE">
      <w:pPr>
        <w:jc w:val="left"/>
        <w:rPr>
          <w:rFonts w:ascii="仿宋" w:eastAsia="仿宋" w:hAnsi="仿宋"/>
          <w:sz w:val="15"/>
          <w:szCs w:val="15"/>
        </w:rPr>
      </w:pPr>
      <w:r>
        <w:rPr>
          <w:rFonts w:ascii="仿宋" w:eastAsia="仿宋" w:hAnsi="仿宋" w:hint="eastAsia"/>
          <w:sz w:val="15"/>
          <w:szCs w:val="15"/>
        </w:rPr>
        <w:t>县区</w:t>
      </w:r>
      <w:r>
        <w:rPr>
          <w:rFonts w:ascii="仿宋" w:eastAsia="仿宋" w:hAnsi="仿宋" w:hint="eastAsia"/>
          <w:sz w:val="15"/>
          <w:szCs w:val="15"/>
        </w:rPr>
        <w:t>教育</w:t>
      </w:r>
      <w:r>
        <w:rPr>
          <w:rFonts w:ascii="仿宋" w:eastAsia="仿宋" w:hAnsi="仿宋" w:hint="eastAsia"/>
          <w:sz w:val="15"/>
          <w:szCs w:val="15"/>
        </w:rPr>
        <w:t>局</w:t>
      </w:r>
      <w:r>
        <w:rPr>
          <w:rFonts w:ascii="仿宋" w:eastAsia="仿宋" w:hAnsi="仿宋" w:hint="eastAsia"/>
          <w:sz w:val="15"/>
          <w:szCs w:val="15"/>
        </w:rPr>
        <w:t>:</w:t>
      </w:r>
    </w:p>
    <w:tbl>
      <w:tblPr>
        <w:tblStyle w:val="a3"/>
        <w:tblW w:w="14187" w:type="dxa"/>
        <w:jc w:val="right"/>
        <w:tblLayout w:type="fixed"/>
        <w:tblLook w:val="04A0"/>
      </w:tblPr>
      <w:tblGrid>
        <w:gridCol w:w="1025"/>
        <w:gridCol w:w="2690"/>
        <w:gridCol w:w="1144"/>
        <w:gridCol w:w="7964"/>
        <w:gridCol w:w="1364"/>
      </w:tblGrid>
      <w:tr w:rsidR="00707E79">
        <w:trPr>
          <w:trHeight w:val="338"/>
          <w:jc w:val="right"/>
        </w:trPr>
        <w:tc>
          <w:tcPr>
            <w:tcW w:w="1025" w:type="dxa"/>
            <w:vAlign w:val="center"/>
          </w:tcPr>
          <w:p w:rsidR="00707E79" w:rsidRDefault="00B45EEE">
            <w:pPr>
              <w:jc w:val="center"/>
              <w:rPr>
                <w:rFonts w:ascii="宋体" w:eastAsia="宋体" w:hAnsi="宋体"/>
                <w:b/>
                <w:sz w:val="15"/>
                <w:szCs w:val="15"/>
              </w:rPr>
            </w:pPr>
            <w:r>
              <w:rPr>
                <w:rFonts w:ascii="宋体" w:eastAsia="宋体" w:hAnsi="宋体" w:hint="eastAsia"/>
                <w:b/>
                <w:sz w:val="15"/>
                <w:szCs w:val="15"/>
              </w:rPr>
              <w:t>序号</w:t>
            </w:r>
          </w:p>
        </w:tc>
        <w:tc>
          <w:tcPr>
            <w:tcW w:w="2690" w:type="dxa"/>
            <w:vAlign w:val="center"/>
          </w:tcPr>
          <w:p w:rsidR="00707E79" w:rsidRDefault="00B45EEE">
            <w:pPr>
              <w:jc w:val="center"/>
              <w:rPr>
                <w:rFonts w:ascii="宋体" w:eastAsia="宋体" w:hAnsi="宋体"/>
                <w:b/>
                <w:sz w:val="15"/>
                <w:szCs w:val="15"/>
              </w:rPr>
            </w:pPr>
            <w:r>
              <w:rPr>
                <w:rFonts w:ascii="宋体" w:eastAsia="宋体" w:hAnsi="宋体" w:hint="eastAsia"/>
                <w:b/>
                <w:sz w:val="15"/>
                <w:szCs w:val="15"/>
              </w:rPr>
              <w:t>考评</w:t>
            </w:r>
            <w:r>
              <w:rPr>
                <w:rFonts w:ascii="宋体" w:eastAsia="宋体" w:hAnsi="宋体"/>
                <w:b/>
                <w:sz w:val="15"/>
                <w:szCs w:val="15"/>
              </w:rPr>
              <w:t>内容</w:t>
            </w:r>
          </w:p>
        </w:tc>
        <w:tc>
          <w:tcPr>
            <w:tcW w:w="1144" w:type="dxa"/>
            <w:vAlign w:val="center"/>
          </w:tcPr>
          <w:p w:rsidR="00707E79" w:rsidRDefault="00B45EEE">
            <w:pPr>
              <w:jc w:val="center"/>
              <w:rPr>
                <w:rFonts w:ascii="宋体" w:eastAsia="宋体" w:hAnsi="宋体"/>
                <w:b/>
                <w:sz w:val="15"/>
                <w:szCs w:val="15"/>
              </w:rPr>
            </w:pPr>
            <w:r>
              <w:rPr>
                <w:rFonts w:ascii="宋体" w:eastAsia="宋体" w:hAnsi="宋体" w:hint="eastAsia"/>
                <w:b/>
                <w:sz w:val="15"/>
                <w:szCs w:val="15"/>
              </w:rPr>
              <w:t>分值</w:t>
            </w:r>
          </w:p>
        </w:tc>
        <w:tc>
          <w:tcPr>
            <w:tcW w:w="7964" w:type="dxa"/>
            <w:vAlign w:val="center"/>
          </w:tcPr>
          <w:p w:rsidR="00707E79" w:rsidRDefault="00B45EEE">
            <w:pPr>
              <w:jc w:val="center"/>
              <w:rPr>
                <w:rFonts w:ascii="宋体" w:eastAsia="宋体" w:hAnsi="宋体"/>
                <w:b/>
                <w:sz w:val="15"/>
                <w:szCs w:val="15"/>
              </w:rPr>
            </w:pPr>
            <w:r>
              <w:rPr>
                <w:rFonts w:ascii="宋体" w:eastAsia="宋体" w:hAnsi="宋体" w:hint="eastAsia"/>
                <w:b/>
                <w:sz w:val="15"/>
                <w:szCs w:val="15"/>
              </w:rPr>
              <w:t>考评</w:t>
            </w:r>
            <w:r>
              <w:rPr>
                <w:rFonts w:ascii="宋体" w:eastAsia="宋体" w:hAnsi="宋体"/>
                <w:b/>
                <w:sz w:val="15"/>
                <w:szCs w:val="15"/>
              </w:rPr>
              <w:t>细则</w:t>
            </w:r>
          </w:p>
        </w:tc>
        <w:tc>
          <w:tcPr>
            <w:tcW w:w="1364" w:type="dxa"/>
            <w:vAlign w:val="center"/>
          </w:tcPr>
          <w:p w:rsidR="00707E79" w:rsidRDefault="00B45EEE">
            <w:pPr>
              <w:jc w:val="center"/>
              <w:rPr>
                <w:rFonts w:ascii="宋体" w:eastAsia="宋体" w:hAnsi="宋体"/>
                <w:b/>
                <w:sz w:val="15"/>
                <w:szCs w:val="15"/>
              </w:rPr>
            </w:pPr>
            <w:r>
              <w:rPr>
                <w:rFonts w:ascii="宋体" w:eastAsia="宋体" w:hAnsi="宋体" w:hint="eastAsia"/>
                <w:b/>
                <w:sz w:val="15"/>
                <w:szCs w:val="15"/>
              </w:rPr>
              <w:t>得分</w:t>
            </w:r>
          </w:p>
        </w:tc>
      </w:tr>
      <w:tr w:rsidR="00707E79">
        <w:trPr>
          <w:trHeight w:val="1015"/>
          <w:jc w:val="right"/>
        </w:trPr>
        <w:tc>
          <w:tcPr>
            <w:tcW w:w="1025" w:type="dxa"/>
            <w:vAlign w:val="center"/>
          </w:tcPr>
          <w:p w:rsidR="00707E79" w:rsidRDefault="00B45EE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1</w:t>
            </w:r>
          </w:p>
        </w:tc>
        <w:tc>
          <w:tcPr>
            <w:tcW w:w="2690" w:type="dxa"/>
            <w:vAlign w:val="center"/>
          </w:tcPr>
          <w:p w:rsidR="00707E79" w:rsidRDefault="00B45EE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动员部署及</w:t>
            </w:r>
          </w:p>
          <w:p w:rsidR="00707E79" w:rsidRDefault="00B45EE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/>
                <w:sz w:val="18"/>
                <w:szCs w:val="18"/>
              </w:rPr>
              <w:t>组织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措施</w:t>
            </w:r>
          </w:p>
        </w:tc>
        <w:tc>
          <w:tcPr>
            <w:tcW w:w="1144" w:type="dxa"/>
            <w:vAlign w:val="center"/>
          </w:tcPr>
          <w:p w:rsidR="00707E79" w:rsidRDefault="00B45EE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10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分</w:t>
            </w:r>
          </w:p>
        </w:tc>
        <w:tc>
          <w:tcPr>
            <w:tcW w:w="7964" w:type="dxa"/>
            <w:vAlign w:val="center"/>
          </w:tcPr>
          <w:p w:rsidR="00707E79" w:rsidRDefault="00B45EEE">
            <w:pPr>
              <w:adjustRightInd w:val="0"/>
              <w:snapToGrid w:val="0"/>
              <w:spacing w:line="360" w:lineRule="exac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、各</w:t>
            </w:r>
            <w:r>
              <w:rPr>
                <w:rFonts w:ascii="宋体" w:eastAsia="宋体" w:hAnsi="宋体"/>
                <w:sz w:val="18"/>
                <w:szCs w:val="18"/>
              </w:rPr>
              <w:t>县、区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教育</w:t>
            </w:r>
            <w:r>
              <w:rPr>
                <w:rFonts w:ascii="宋体" w:eastAsia="宋体" w:hAnsi="宋体"/>
                <w:sz w:val="18"/>
                <w:szCs w:val="18"/>
              </w:rPr>
              <w:t>局对此次专项整治行动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及</w:t>
            </w:r>
            <w:r>
              <w:rPr>
                <w:rFonts w:ascii="宋体" w:eastAsia="宋体" w:hAnsi="宋体"/>
                <w:sz w:val="18"/>
                <w:szCs w:val="18"/>
              </w:rPr>
              <w:t>时进行安排部署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，</w:t>
            </w:r>
            <w:r>
              <w:rPr>
                <w:rFonts w:ascii="宋体" w:eastAsia="宋体" w:hAnsi="宋体"/>
                <w:sz w:val="18"/>
                <w:szCs w:val="18"/>
              </w:rPr>
              <w:t>有会议记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录</w:t>
            </w:r>
            <w:r>
              <w:rPr>
                <w:rFonts w:ascii="宋体" w:eastAsia="宋体" w:hAnsi="宋体"/>
                <w:sz w:val="18"/>
                <w:szCs w:val="18"/>
              </w:rPr>
              <w:t>、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实施</w:t>
            </w:r>
            <w:r>
              <w:rPr>
                <w:rFonts w:ascii="宋体" w:eastAsia="宋体" w:hAnsi="宋体"/>
                <w:sz w:val="18"/>
                <w:szCs w:val="18"/>
              </w:rPr>
              <w:t>方案等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占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6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分</w:t>
            </w:r>
            <w:r>
              <w:rPr>
                <w:rFonts w:ascii="宋体" w:eastAsia="宋体" w:hAnsi="宋体"/>
                <w:sz w:val="18"/>
                <w:szCs w:val="18"/>
              </w:rPr>
              <w:t>；</w:t>
            </w:r>
          </w:p>
          <w:p w:rsidR="00707E79" w:rsidRDefault="00B45EEE">
            <w:pPr>
              <w:adjustRightInd w:val="0"/>
              <w:snapToGrid w:val="0"/>
              <w:spacing w:line="360" w:lineRule="exac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>
              <w:rPr>
                <w:rFonts w:ascii="宋体" w:eastAsia="宋体" w:hAnsi="宋体"/>
                <w:sz w:val="18"/>
                <w:szCs w:val="18"/>
              </w:rPr>
              <w:t>成立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相</w:t>
            </w:r>
            <w:r>
              <w:rPr>
                <w:rFonts w:ascii="宋体" w:eastAsia="宋体" w:hAnsi="宋体"/>
                <w:sz w:val="18"/>
                <w:szCs w:val="18"/>
              </w:rPr>
              <w:t>应的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领导</w:t>
            </w:r>
            <w:r>
              <w:rPr>
                <w:rFonts w:ascii="宋体" w:eastAsia="宋体" w:hAnsi="宋体"/>
                <w:sz w:val="18"/>
                <w:szCs w:val="18"/>
              </w:rPr>
              <w:t>机构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，</w:t>
            </w:r>
            <w:r>
              <w:rPr>
                <w:rFonts w:ascii="宋体" w:eastAsia="宋体" w:hAnsi="宋体"/>
                <w:sz w:val="18"/>
                <w:szCs w:val="18"/>
              </w:rPr>
              <w:t>明确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监管</w:t>
            </w:r>
            <w:r>
              <w:rPr>
                <w:rFonts w:ascii="宋体" w:eastAsia="宋体" w:hAnsi="宋体"/>
                <w:sz w:val="18"/>
                <w:szCs w:val="18"/>
              </w:rPr>
              <w:t>职责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占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分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</w:tc>
        <w:tc>
          <w:tcPr>
            <w:tcW w:w="1364" w:type="dxa"/>
          </w:tcPr>
          <w:p w:rsidR="00707E79" w:rsidRDefault="00707E79">
            <w:pPr>
              <w:jc w:val="center"/>
              <w:rPr>
                <w:rFonts w:ascii="宋体" w:eastAsia="宋体" w:hAnsi="宋体"/>
                <w:sz w:val="15"/>
                <w:szCs w:val="15"/>
              </w:rPr>
            </w:pPr>
          </w:p>
        </w:tc>
      </w:tr>
      <w:tr w:rsidR="00707E79">
        <w:trPr>
          <w:trHeight w:val="1123"/>
          <w:jc w:val="right"/>
        </w:trPr>
        <w:tc>
          <w:tcPr>
            <w:tcW w:w="1025" w:type="dxa"/>
            <w:vAlign w:val="center"/>
          </w:tcPr>
          <w:p w:rsidR="00707E79" w:rsidRDefault="00B45EE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</w:p>
        </w:tc>
        <w:tc>
          <w:tcPr>
            <w:tcW w:w="2690" w:type="dxa"/>
            <w:vAlign w:val="center"/>
          </w:tcPr>
          <w:p w:rsidR="00707E79" w:rsidRDefault="00B45EEE" w:rsidP="008C0400">
            <w:pPr>
              <w:adjustRightInd w:val="0"/>
              <w:snapToGrid w:val="0"/>
              <w:spacing w:line="360" w:lineRule="exact"/>
              <w:ind w:firstLineChars="250" w:firstLine="450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加</w:t>
            </w:r>
            <w:r>
              <w:rPr>
                <w:rFonts w:ascii="宋体" w:eastAsia="宋体" w:hAnsi="宋体"/>
                <w:sz w:val="18"/>
                <w:szCs w:val="18"/>
              </w:rPr>
              <w:t>强宣传</w:t>
            </w:r>
          </w:p>
        </w:tc>
        <w:tc>
          <w:tcPr>
            <w:tcW w:w="1144" w:type="dxa"/>
            <w:vAlign w:val="center"/>
          </w:tcPr>
          <w:p w:rsidR="00707E79" w:rsidRDefault="00B45EE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20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分</w:t>
            </w:r>
          </w:p>
        </w:tc>
        <w:tc>
          <w:tcPr>
            <w:tcW w:w="7964" w:type="dxa"/>
            <w:vAlign w:val="center"/>
          </w:tcPr>
          <w:p w:rsidR="00707E79" w:rsidRDefault="00B45EEE">
            <w:pPr>
              <w:adjustRightInd w:val="0"/>
              <w:snapToGrid w:val="0"/>
              <w:spacing w:line="360" w:lineRule="exac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>
              <w:rPr>
                <w:rFonts w:ascii="宋体" w:eastAsia="宋体" w:hAnsi="宋体"/>
                <w:sz w:val="18"/>
                <w:szCs w:val="18"/>
              </w:rPr>
              <w:t>发放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宣传</w:t>
            </w:r>
            <w:r>
              <w:rPr>
                <w:rFonts w:ascii="宋体" w:eastAsia="宋体" w:hAnsi="宋体"/>
                <w:sz w:val="18"/>
                <w:szCs w:val="18"/>
              </w:rPr>
              <w:t>材料占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分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;</w:t>
            </w:r>
          </w:p>
          <w:p w:rsidR="00707E79" w:rsidRDefault="00B45EEE">
            <w:pPr>
              <w:adjustRightInd w:val="0"/>
              <w:snapToGrid w:val="0"/>
              <w:spacing w:line="360" w:lineRule="exac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、在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校园及周边</w:t>
            </w:r>
            <w:r>
              <w:rPr>
                <w:rFonts w:ascii="宋体" w:eastAsia="宋体" w:hAnsi="宋体"/>
                <w:sz w:val="18"/>
                <w:szCs w:val="18"/>
              </w:rPr>
              <w:t>显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著</w:t>
            </w:r>
            <w:r>
              <w:rPr>
                <w:rFonts w:ascii="宋体" w:eastAsia="宋体" w:hAnsi="宋体"/>
                <w:sz w:val="18"/>
                <w:szCs w:val="18"/>
              </w:rPr>
              <w:t>位置悬挂宣传横幅占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6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分；</w:t>
            </w:r>
          </w:p>
          <w:p w:rsidR="00707E79" w:rsidRDefault="00B45EEE">
            <w:pPr>
              <w:adjustRightInd w:val="0"/>
              <w:snapToGrid w:val="0"/>
              <w:spacing w:line="360" w:lineRule="exac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校园</w:t>
            </w:r>
            <w:r>
              <w:rPr>
                <w:rFonts w:ascii="宋体" w:eastAsia="宋体" w:hAnsi="宋体"/>
                <w:sz w:val="18"/>
                <w:szCs w:val="18"/>
              </w:rPr>
              <w:t>有无利用广播、电子显示屏进行宣传占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分</w:t>
            </w:r>
            <w:r>
              <w:rPr>
                <w:rFonts w:ascii="宋体" w:eastAsia="宋体" w:hAnsi="宋体"/>
                <w:sz w:val="18"/>
                <w:szCs w:val="18"/>
              </w:rPr>
              <w:t>；</w:t>
            </w:r>
          </w:p>
          <w:p w:rsidR="00707E79" w:rsidRDefault="00B45EEE">
            <w:pPr>
              <w:adjustRightInd w:val="0"/>
              <w:snapToGrid w:val="0"/>
              <w:spacing w:line="360" w:lineRule="exac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、积极</w:t>
            </w:r>
            <w:r>
              <w:rPr>
                <w:rFonts w:ascii="宋体" w:eastAsia="宋体" w:hAnsi="宋体"/>
                <w:sz w:val="18"/>
                <w:szCs w:val="18"/>
              </w:rPr>
              <w:t>报送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相</w:t>
            </w:r>
            <w:r>
              <w:rPr>
                <w:rFonts w:ascii="宋体" w:eastAsia="宋体" w:hAnsi="宋体"/>
                <w:sz w:val="18"/>
                <w:szCs w:val="18"/>
              </w:rPr>
              <w:t>关信息占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6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分（每</w:t>
            </w:r>
            <w:r>
              <w:rPr>
                <w:rFonts w:ascii="宋体" w:eastAsia="宋体" w:hAnsi="宋体"/>
                <w:sz w:val="18"/>
                <w:szCs w:val="18"/>
              </w:rPr>
              <w:t>报送一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篇得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分</w:t>
            </w:r>
            <w:r>
              <w:rPr>
                <w:rFonts w:ascii="宋体" w:eastAsia="宋体" w:hAnsi="宋体"/>
                <w:sz w:val="18"/>
                <w:szCs w:val="18"/>
              </w:rPr>
              <w:t>）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</w:tc>
        <w:tc>
          <w:tcPr>
            <w:tcW w:w="1364" w:type="dxa"/>
          </w:tcPr>
          <w:p w:rsidR="00707E79" w:rsidRDefault="00707E79">
            <w:pPr>
              <w:jc w:val="center"/>
              <w:rPr>
                <w:rFonts w:ascii="宋体" w:eastAsia="宋体" w:hAnsi="宋体"/>
                <w:sz w:val="15"/>
                <w:szCs w:val="15"/>
              </w:rPr>
            </w:pPr>
          </w:p>
        </w:tc>
      </w:tr>
      <w:tr w:rsidR="00707E79">
        <w:trPr>
          <w:trHeight w:val="2734"/>
          <w:jc w:val="right"/>
        </w:trPr>
        <w:tc>
          <w:tcPr>
            <w:tcW w:w="1025" w:type="dxa"/>
            <w:vAlign w:val="center"/>
          </w:tcPr>
          <w:p w:rsidR="00707E79" w:rsidRDefault="00B45EE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</w:p>
        </w:tc>
        <w:tc>
          <w:tcPr>
            <w:tcW w:w="2690" w:type="dxa"/>
            <w:vAlign w:val="center"/>
          </w:tcPr>
          <w:p w:rsidR="00707E79" w:rsidRDefault="00B45EE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工作开展</w:t>
            </w:r>
          </w:p>
        </w:tc>
        <w:tc>
          <w:tcPr>
            <w:tcW w:w="1144" w:type="dxa"/>
            <w:vAlign w:val="center"/>
          </w:tcPr>
          <w:p w:rsidR="00707E79" w:rsidRDefault="00B45EE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60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分</w:t>
            </w:r>
          </w:p>
        </w:tc>
        <w:tc>
          <w:tcPr>
            <w:tcW w:w="7964" w:type="dxa"/>
            <w:vAlign w:val="center"/>
          </w:tcPr>
          <w:p w:rsidR="00707E79" w:rsidRDefault="00B45EEE">
            <w:pPr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深入校园及周边调研、指导，协调解决校园及周边治安突出问题占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分；</w:t>
            </w:r>
          </w:p>
          <w:p w:rsidR="00707E79" w:rsidRDefault="00B45EEE">
            <w:pPr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深入开展“安全防范知识进校园”活动，加强校园法制建设占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分；</w:t>
            </w:r>
          </w:p>
          <w:p w:rsidR="00707E79" w:rsidRDefault="00B45EEE">
            <w:pPr>
              <w:adjustRightInd w:val="0"/>
              <w:snapToGrid w:val="0"/>
              <w:spacing w:line="360" w:lineRule="exac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、校园及周边各类安全设施配备齐全、完好，各类安全标识清楚醒目</w:t>
            </w:r>
            <w:r>
              <w:rPr>
                <w:rFonts w:ascii="宋体" w:eastAsia="宋体" w:hAnsi="宋体"/>
                <w:sz w:val="18"/>
                <w:szCs w:val="18"/>
              </w:rPr>
              <w:t>占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5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分</w:t>
            </w:r>
            <w:r>
              <w:rPr>
                <w:rFonts w:ascii="宋体" w:eastAsia="宋体" w:hAnsi="宋体"/>
                <w:sz w:val="18"/>
                <w:szCs w:val="18"/>
              </w:rPr>
              <w:t>；</w:t>
            </w:r>
          </w:p>
          <w:p w:rsidR="00707E79" w:rsidRDefault="00B45EEE">
            <w:pPr>
              <w:adjustRightInd w:val="0"/>
              <w:snapToGrid w:val="0"/>
              <w:spacing w:line="360" w:lineRule="exac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督导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校园建立健全安全保卫工作制度，制定安全防范工作有效措施以及应急预案，校园安全责任落实到位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占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15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分</w:t>
            </w:r>
            <w:r>
              <w:rPr>
                <w:rFonts w:ascii="宋体" w:eastAsia="宋体" w:hAnsi="宋体"/>
                <w:sz w:val="18"/>
                <w:szCs w:val="18"/>
              </w:rPr>
              <w:t>；</w:t>
            </w:r>
          </w:p>
          <w:p w:rsidR="00707E79" w:rsidRDefault="00B45EEE">
            <w:pPr>
              <w:adjustRightInd w:val="0"/>
              <w:snapToGrid w:val="0"/>
              <w:spacing w:line="36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5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、校园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及周边必须划定机动车辆和非机动车辆停车区域，车辆停放整齐占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分；</w:t>
            </w:r>
          </w:p>
          <w:p w:rsidR="00707E79" w:rsidRDefault="00B45EEE">
            <w:pPr>
              <w:adjustRightInd w:val="0"/>
              <w:snapToGrid w:val="0"/>
              <w:spacing w:line="360" w:lineRule="exac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6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、校门外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50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米内无违规经营的流动摊点，无占道经营现象占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分；</w:t>
            </w:r>
          </w:p>
          <w:p w:rsidR="00707E79" w:rsidRDefault="00B45EEE">
            <w:pPr>
              <w:adjustRightInd w:val="0"/>
              <w:snapToGrid w:val="0"/>
              <w:spacing w:line="360" w:lineRule="exac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7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、校园周围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200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米以内无网吧、歌舞厅、音像书报刊店（亭）、电子游戏厅占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分。</w:t>
            </w:r>
          </w:p>
        </w:tc>
        <w:tc>
          <w:tcPr>
            <w:tcW w:w="1364" w:type="dxa"/>
          </w:tcPr>
          <w:p w:rsidR="00707E79" w:rsidRDefault="00707E79">
            <w:pPr>
              <w:jc w:val="center"/>
              <w:rPr>
                <w:rFonts w:ascii="宋体" w:eastAsia="宋体" w:hAnsi="宋体"/>
                <w:sz w:val="15"/>
                <w:szCs w:val="15"/>
              </w:rPr>
            </w:pPr>
          </w:p>
        </w:tc>
      </w:tr>
      <w:tr w:rsidR="00707E79">
        <w:trPr>
          <w:trHeight w:val="841"/>
          <w:jc w:val="right"/>
        </w:trPr>
        <w:tc>
          <w:tcPr>
            <w:tcW w:w="1025" w:type="dxa"/>
            <w:vAlign w:val="center"/>
          </w:tcPr>
          <w:p w:rsidR="00707E79" w:rsidRDefault="00B45EE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4</w:t>
            </w:r>
          </w:p>
        </w:tc>
        <w:tc>
          <w:tcPr>
            <w:tcW w:w="2690" w:type="dxa"/>
            <w:vAlign w:val="center"/>
          </w:tcPr>
          <w:p w:rsidR="00707E79" w:rsidRDefault="00B45EE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总结验收</w:t>
            </w:r>
          </w:p>
        </w:tc>
        <w:tc>
          <w:tcPr>
            <w:tcW w:w="1144" w:type="dxa"/>
            <w:vAlign w:val="center"/>
          </w:tcPr>
          <w:p w:rsidR="00707E79" w:rsidRDefault="00B45EE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10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分</w:t>
            </w:r>
          </w:p>
        </w:tc>
        <w:tc>
          <w:tcPr>
            <w:tcW w:w="7964" w:type="dxa"/>
            <w:vAlign w:val="center"/>
          </w:tcPr>
          <w:p w:rsidR="00707E79" w:rsidRDefault="00B45EEE">
            <w:pPr>
              <w:adjustRightInd w:val="0"/>
              <w:snapToGrid w:val="0"/>
              <w:spacing w:line="360" w:lineRule="exact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对</w:t>
            </w:r>
            <w:r>
              <w:rPr>
                <w:rFonts w:ascii="宋体" w:eastAsia="宋体" w:hAnsi="宋体"/>
                <w:sz w:val="18"/>
                <w:szCs w:val="18"/>
              </w:rPr>
              <w:t>专项行动开展情况进行认真总结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并</w:t>
            </w:r>
            <w:r>
              <w:rPr>
                <w:rFonts w:ascii="宋体" w:eastAsia="宋体" w:hAnsi="宋体"/>
                <w:sz w:val="18"/>
                <w:szCs w:val="18"/>
              </w:rPr>
              <w:t>及时报送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总结</w:t>
            </w:r>
            <w:r>
              <w:rPr>
                <w:rFonts w:ascii="宋体" w:eastAsia="宋体" w:hAnsi="宋体"/>
                <w:sz w:val="18"/>
                <w:szCs w:val="18"/>
              </w:rPr>
              <w:t>占</w:t>
            </w:r>
            <w:r>
              <w:rPr>
                <w:rFonts w:ascii="宋体" w:eastAsia="宋体" w:hAnsi="宋体"/>
                <w:sz w:val="18"/>
                <w:szCs w:val="18"/>
              </w:rPr>
              <w:t>10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分</w:t>
            </w:r>
          </w:p>
        </w:tc>
        <w:tc>
          <w:tcPr>
            <w:tcW w:w="1364" w:type="dxa"/>
          </w:tcPr>
          <w:p w:rsidR="00707E79" w:rsidRDefault="00707E79">
            <w:pPr>
              <w:jc w:val="center"/>
              <w:rPr>
                <w:rFonts w:ascii="宋体" w:eastAsia="宋体" w:hAnsi="宋体"/>
                <w:sz w:val="15"/>
                <w:szCs w:val="15"/>
              </w:rPr>
            </w:pPr>
          </w:p>
        </w:tc>
      </w:tr>
    </w:tbl>
    <w:p w:rsidR="00707E79" w:rsidRDefault="00B45EEE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30"/>
          <w:szCs w:val="30"/>
        </w:rPr>
        <w:t>说明：</w:t>
      </w:r>
      <w:r>
        <w:rPr>
          <w:rFonts w:ascii="仿宋" w:eastAsia="仿宋" w:hAnsi="仿宋" w:hint="eastAsia"/>
          <w:sz w:val="30"/>
          <w:szCs w:val="30"/>
        </w:rPr>
        <w:t>1.</w:t>
      </w:r>
      <w:r>
        <w:rPr>
          <w:rFonts w:ascii="仿宋" w:eastAsia="仿宋" w:hAnsi="仿宋" w:hint="eastAsia"/>
          <w:sz w:val="30"/>
          <w:szCs w:val="30"/>
        </w:rPr>
        <w:t>定期</w:t>
      </w:r>
      <w:r>
        <w:rPr>
          <w:rFonts w:ascii="仿宋" w:eastAsia="仿宋" w:hAnsi="仿宋" w:hint="eastAsia"/>
          <w:sz w:val="30"/>
          <w:szCs w:val="30"/>
        </w:rPr>
        <w:t>考评</w:t>
      </w:r>
      <w:r>
        <w:rPr>
          <w:rFonts w:ascii="仿宋" w:eastAsia="仿宋" w:hAnsi="仿宋" w:hint="eastAsia"/>
          <w:sz w:val="30"/>
          <w:szCs w:val="30"/>
        </w:rPr>
        <w:t>,</w:t>
      </w:r>
      <w:r>
        <w:rPr>
          <w:rFonts w:ascii="仿宋" w:eastAsia="仿宋" w:hAnsi="仿宋" w:hint="eastAsia"/>
          <w:sz w:val="30"/>
          <w:szCs w:val="30"/>
        </w:rPr>
        <w:t>对得分项、扣分项、总得分进行通报。</w:t>
      </w:r>
      <w:r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>2.</w:t>
      </w:r>
      <w:r>
        <w:rPr>
          <w:rFonts w:ascii="仿宋" w:eastAsia="仿宋" w:hAnsi="仿宋" w:hint="eastAsia"/>
          <w:sz w:val="30"/>
          <w:szCs w:val="30"/>
        </w:rPr>
        <w:t>依据现场实地调查和县、区局报送材料打分。</w:t>
      </w:r>
      <w:bookmarkStart w:id="0" w:name="_GoBack"/>
      <w:bookmarkEnd w:id="0"/>
    </w:p>
    <w:sectPr w:rsidR="00707E79" w:rsidSect="00707E7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EEE" w:rsidRDefault="00B45EEE" w:rsidP="008C0400">
      <w:r>
        <w:separator/>
      </w:r>
    </w:p>
  </w:endnote>
  <w:endnote w:type="continuationSeparator" w:id="0">
    <w:p w:rsidR="00B45EEE" w:rsidRDefault="00B45EEE" w:rsidP="008C04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EEE" w:rsidRDefault="00B45EEE" w:rsidP="008C0400">
      <w:r>
        <w:separator/>
      </w:r>
    </w:p>
  </w:footnote>
  <w:footnote w:type="continuationSeparator" w:id="0">
    <w:p w:rsidR="00B45EEE" w:rsidRDefault="00B45EEE" w:rsidP="008C04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6D434"/>
    <w:multiLevelType w:val="singleLevel"/>
    <w:tmpl w:val="58F6D43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A8B47A4"/>
    <w:rsid w:val="00707E79"/>
    <w:rsid w:val="008C0400"/>
    <w:rsid w:val="00B45EEE"/>
    <w:rsid w:val="23AA73BD"/>
    <w:rsid w:val="35FC67D8"/>
    <w:rsid w:val="3F3D217A"/>
    <w:rsid w:val="54881046"/>
    <w:rsid w:val="5A8B47A4"/>
    <w:rsid w:val="62E16B20"/>
    <w:rsid w:val="6EA472D4"/>
    <w:rsid w:val="70C627EF"/>
    <w:rsid w:val="72DE2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7E7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707E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8C04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C0400"/>
    <w:rPr>
      <w:kern w:val="2"/>
      <w:sz w:val="18"/>
      <w:szCs w:val="18"/>
    </w:rPr>
  </w:style>
  <w:style w:type="paragraph" w:styleId="a5">
    <w:name w:val="footer"/>
    <w:basedOn w:val="a"/>
    <w:link w:val="Char0"/>
    <w:rsid w:val="008C04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C040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cp:lastPrinted>2017-04-27T07:42:00Z</cp:lastPrinted>
  <dcterms:created xsi:type="dcterms:W3CDTF">2017-04-19T02:42:00Z</dcterms:created>
  <dcterms:modified xsi:type="dcterms:W3CDTF">2017-04-27T07:42:00Z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